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jc w:val="center"/>
        <w:rPr>
          <w:rFonts w:ascii="Times New Roman" w:hAnsi="Times New Roman" w:cs="Times New Roman"/>
          <w:sz w:val="24"/>
          <w:szCs w:val="24"/>
        </w:rPr>
      </w:pPr>
    </w:p>
    <w:p w:rsidR="006F1354" w:rsidRPr="006F1354" w:rsidRDefault="006F1354" w:rsidP="006F1354">
      <w:pPr>
        <w:spacing w:line="480" w:lineRule="auto"/>
        <w:jc w:val="center"/>
        <w:rPr>
          <w:rFonts w:ascii="Times New Roman" w:hAnsi="Times New Roman" w:cs="Times New Roman"/>
          <w:sz w:val="24"/>
          <w:szCs w:val="24"/>
        </w:rPr>
      </w:pPr>
      <w:r w:rsidRPr="006F1354">
        <w:rPr>
          <w:rFonts w:ascii="Times New Roman" w:hAnsi="Times New Roman" w:cs="Times New Roman"/>
          <w:sz w:val="24"/>
          <w:szCs w:val="24"/>
        </w:rPr>
        <w:t>Administrative Deference and Discretion</w:t>
      </w:r>
    </w:p>
    <w:p w:rsidR="006F1354" w:rsidRPr="006F1354" w:rsidRDefault="006F1354" w:rsidP="006F1354">
      <w:pPr>
        <w:spacing w:line="480" w:lineRule="auto"/>
        <w:jc w:val="center"/>
        <w:rPr>
          <w:rFonts w:ascii="Times New Roman" w:hAnsi="Times New Roman" w:cs="Times New Roman"/>
          <w:sz w:val="24"/>
          <w:szCs w:val="24"/>
        </w:rPr>
      </w:pPr>
      <w:r w:rsidRPr="006F1354">
        <w:rPr>
          <w:rFonts w:ascii="Times New Roman" w:hAnsi="Times New Roman" w:cs="Times New Roman"/>
          <w:sz w:val="24"/>
          <w:szCs w:val="24"/>
        </w:rPr>
        <w:t>Institution</w:t>
      </w:r>
    </w:p>
    <w:p w:rsidR="006F1354" w:rsidRPr="006F1354" w:rsidRDefault="006F1354" w:rsidP="006F1354">
      <w:pPr>
        <w:spacing w:line="480" w:lineRule="auto"/>
        <w:jc w:val="center"/>
        <w:rPr>
          <w:rFonts w:ascii="Times New Roman" w:hAnsi="Times New Roman" w:cs="Times New Roman"/>
          <w:sz w:val="24"/>
          <w:szCs w:val="24"/>
        </w:rPr>
      </w:pPr>
      <w:r w:rsidRPr="006F1354">
        <w:rPr>
          <w:rFonts w:ascii="Times New Roman" w:hAnsi="Times New Roman" w:cs="Times New Roman"/>
          <w:sz w:val="24"/>
          <w:szCs w:val="24"/>
        </w:rPr>
        <w:t>Course</w:t>
      </w:r>
    </w:p>
    <w:p w:rsidR="006F1354" w:rsidRPr="006F1354" w:rsidRDefault="006F1354" w:rsidP="006F1354">
      <w:pPr>
        <w:spacing w:line="480" w:lineRule="auto"/>
        <w:jc w:val="center"/>
        <w:rPr>
          <w:rFonts w:ascii="Times New Roman" w:hAnsi="Times New Roman" w:cs="Times New Roman"/>
          <w:sz w:val="24"/>
          <w:szCs w:val="24"/>
        </w:rPr>
      </w:pPr>
      <w:r w:rsidRPr="006F1354">
        <w:rPr>
          <w:rFonts w:ascii="Times New Roman" w:hAnsi="Times New Roman" w:cs="Times New Roman"/>
          <w:sz w:val="24"/>
          <w:szCs w:val="24"/>
        </w:rPr>
        <w:t>Name</w:t>
      </w: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ind w:firstLine="720"/>
        <w:rPr>
          <w:rFonts w:ascii="Times New Roman" w:hAnsi="Times New Roman" w:cs="Times New Roman"/>
          <w:sz w:val="24"/>
          <w:szCs w:val="24"/>
        </w:rPr>
      </w:pPr>
      <w:r w:rsidRPr="006F1354">
        <w:rPr>
          <w:rFonts w:ascii="Times New Roman" w:hAnsi="Times New Roman" w:cs="Times New Roman"/>
          <w:sz w:val="24"/>
          <w:szCs w:val="24"/>
        </w:rPr>
        <w:lastRenderedPageBreak/>
        <w:t xml:space="preserve">The Chevron deference refers to a principle of the administrative law that requires courts to give way the interpretations of the acts made by the state agencies that are charged with enforcing them unless the interpretations are not reasonable. However, reasonableness in part turns on if the acts unambiguously address the issue at hand. If it turns out that the acts unambiguously addresses the issue, then the unambiguous meaning is left to stay in control. On the other hand, if the acts or laws are ambiguous, the law court asks if the agency's interpretations of the ambiguous provision had been based on an acceptable construction of the act (Chevron U.S.A., 1984). It is argued that under Chevron, courts ought to consider an agency's interpretation of an ambiguous law even if the interpretations appear to delimit the scope of the jurisdiction of the agency. </w:t>
      </w:r>
    </w:p>
    <w:p w:rsidR="006F1354" w:rsidRPr="006F1354" w:rsidRDefault="006F1354" w:rsidP="006F1354">
      <w:pPr>
        <w:spacing w:line="480" w:lineRule="auto"/>
        <w:ind w:firstLine="720"/>
        <w:rPr>
          <w:rFonts w:ascii="Times New Roman" w:hAnsi="Times New Roman" w:cs="Times New Roman"/>
          <w:sz w:val="24"/>
          <w:szCs w:val="24"/>
        </w:rPr>
      </w:pPr>
      <w:r w:rsidRPr="006F1354">
        <w:rPr>
          <w:rFonts w:ascii="Times New Roman" w:hAnsi="Times New Roman" w:cs="Times New Roman"/>
          <w:sz w:val="24"/>
          <w:szCs w:val="24"/>
        </w:rPr>
        <w:t xml:space="preserve">Some rationales have been offered by different commentators about the Chevron opinion. The first bunch of commentators has treated Chevron as a mere default rule that has been created which can be legislated by the Congress. Others argue that the Chevron as an attempt to reconstruct congressional intent and others argue that the separation-of-powers doctrine requires Chevron deference to interpretations by the agency. Before any agency comes up to resolve an issue, it ought to have formulated a well-thought process on how it will go about the process. Over time, Chevron has been thought to have improved upon the previous doctrine in that the Congress is aware of the ambiguity it creates (Chevron U.S.A., 1984). </w:t>
      </w:r>
    </w:p>
    <w:p w:rsidR="006F1354" w:rsidRPr="006F1354" w:rsidRDefault="006F1354" w:rsidP="006F1354">
      <w:pPr>
        <w:spacing w:line="480" w:lineRule="auto"/>
        <w:ind w:firstLine="720"/>
        <w:rPr>
          <w:rFonts w:ascii="Times New Roman" w:hAnsi="Times New Roman" w:cs="Times New Roman"/>
          <w:sz w:val="24"/>
          <w:szCs w:val="24"/>
        </w:rPr>
      </w:pPr>
      <w:r w:rsidRPr="006F1354">
        <w:rPr>
          <w:rFonts w:ascii="Times New Roman" w:hAnsi="Times New Roman" w:cs="Times New Roman"/>
          <w:sz w:val="24"/>
          <w:szCs w:val="24"/>
        </w:rPr>
        <w:t xml:space="preserve">The Congress can create ambiguity either intentionally or unintentionally as it strives to resolve issues within its bounds of permissible interpretations. According to Chevron, separation of powers needs the deference of doctrine. Commentators have always argued supporting Chevron doctrine since it resolves the ambiguities which arise in Chevron disputes. Policy judgments are found in the domain of political branches where democratically officials who are </w:t>
      </w:r>
      <w:r w:rsidRPr="006F1354">
        <w:rPr>
          <w:rFonts w:ascii="Times New Roman" w:hAnsi="Times New Roman" w:cs="Times New Roman"/>
          <w:sz w:val="24"/>
          <w:szCs w:val="24"/>
        </w:rPr>
        <w:lastRenderedPageBreak/>
        <w:t xml:space="preserve">accountable for their actions while at work stays in course. It gives such officials to interpret the policies so that they suit a particular case. Therefore, Chevron champions for separation of powers through transferring interpretive power over ambiguous acts to agencies, which are democratically accountable from the courts of the country (Chevron U.S.A., 1984).  </w:t>
      </w:r>
    </w:p>
    <w:p w:rsidR="006F1354" w:rsidRPr="006F1354" w:rsidRDefault="006F1354" w:rsidP="006F1354">
      <w:pPr>
        <w:spacing w:line="480" w:lineRule="auto"/>
        <w:rPr>
          <w:rFonts w:ascii="Times New Roman" w:hAnsi="Times New Roman" w:cs="Times New Roman"/>
          <w:b/>
          <w:sz w:val="24"/>
          <w:szCs w:val="24"/>
        </w:rPr>
      </w:pPr>
      <w:r w:rsidRPr="006F1354">
        <w:rPr>
          <w:rFonts w:ascii="Times New Roman" w:hAnsi="Times New Roman" w:cs="Times New Roman"/>
          <w:b/>
          <w:sz w:val="24"/>
          <w:szCs w:val="24"/>
        </w:rPr>
        <w:t>The Elian Gonzalez Case</w:t>
      </w:r>
    </w:p>
    <w:p w:rsidR="006F1354" w:rsidRPr="006F1354" w:rsidRDefault="006F1354" w:rsidP="006F1354">
      <w:pPr>
        <w:spacing w:line="480" w:lineRule="auto"/>
        <w:ind w:firstLine="720"/>
        <w:rPr>
          <w:rFonts w:ascii="Times New Roman" w:hAnsi="Times New Roman" w:cs="Times New Roman"/>
          <w:sz w:val="24"/>
          <w:szCs w:val="24"/>
        </w:rPr>
      </w:pPr>
      <w:r w:rsidRPr="006F1354">
        <w:rPr>
          <w:rFonts w:ascii="Times New Roman" w:hAnsi="Times New Roman" w:cs="Times New Roman"/>
          <w:sz w:val="24"/>
          <w:szCs w:val="24"/>
        </w:rPr>
        <w:t xml:space="preserve">Elian Gonzalez is a six-year-old American most famous refugee. He got to the US while clinging to an inner-tube long after his mother and other several Cubans had drowned after the boat they were sailing in foundered. He happened to be having a great uncle residing in Miami who later on was granted temporary custody of the boy. However, the US government ruled that Elian Gonzalez must be taken back to his father in Cuba (Dillman, 2002). He was taken back to his father, now in the US. The supreme court of the United States of America ruled that the boy cannot be forced to stay in the country despite the vigorous efforts by the Miami-based family members to keep him there. The father and the Uncle failed to come to an agreement regarding who was to keep the boy. It is after this that the US Immigration agency forcefully raided the house of the Miami-based uncle and took Gonzalez by force and took him back to his father on 22nd April. Elian has reunited once again with his father, and the boy appeared to have been happy with the move.   </w:t>
      </w:r>
    </w:p>
    <w:p w:rsidR="006F1354" w:rsidRPr="006F1354" w:rsidRDefault="006F1354" w:rsidP="006F1354">
      <w:pPr>
        <w:spacing w:line="480" w:lineRule="auto"/>
        <w:ind w:firstLine="720"/>
        <w:rPr>
          <w:rFonts w:ascii="Times New Roman" w:hAnsi="Times New Roman" w:cs="Times New Roman"/>
          <w:sz w:val="24"/>
          <w:szCs w:val="24"/>
        </w:rPr>
      </w:pPr>
      <w:r w:rsidRPr="006F1354">
        <w:rPr>
          <w:rFonts w:ascii="Times New Roman" w:hAnsi="Times New Roman" w:cs="Times New Roman"/>
          <w:sz w:val="24"/>
          <w:szCs w:val="24"/>
        </w:rPr>
        <w:t xml:space="preserve">In the above case about Elian Gonzalez, the Chevron doctrine took effect after the immigration officers decided to take back Elian to his father. The immigration agency has officials who are supposed to come up with decisions that are not ambiguous. The idea of taking Elian back to his father was a good idea and was also seconded even by the Attorney. Eric Holder, the deputy attorney general, asserted that "I believe that reuniting Elian with his father is </w:t>
      </w:r>
      <w:r w:rsidRPr="006F1354">
        <w:rPr>
          <w:rFonts w:ascii="Times New Roman" w:hAnsi="Times New Roman" w:cs="Times New Roman"/>
          <w:sz w:val="24"/>
          <w:szCs w:val="24"/>
        </w:rPr>
        <w:lastRenderedPageBreak/>
        <w:t xml:space="preserve">not only a matter of federal law. It is not a matter of immigration law, but it is simply the right thing to do (Dillman, 2002)." Another department that seconded the idea of taking Elian back to his father was the US Immigration and Naturalization Service (INS), they argued that the boy had a close and continuous relationship with the father, Juan Miguel Gonzales, even though both parents had separated. </w:t>
      </w:r>
    </w:p>
    <w:p w:rsidR="006F1354" w:rsidRPr="006F1354" w:rsidRDefault="006F1354" w:rsidP="006F1354">
      <w:pPr>
        <w:spacing w:line="480" w:lineRule="auto"/>
        <w:rPr>
          <w:rFonts w:ascii="Times New Roman" w:hAnsi="Times New Roman" w:cs="Times New Roman"/>
          <w:b/>
          <w:sz w:val="24"/>
          <w:szCs w:val="24"/>
        </w:rPr>
      </w:pPr>
      <w:r w:rsidRPr="006F1354">
        <w:rPr>
          <w:rFonts w:ascii="Times New Roman" w:hAnsi="Times New Roman" w:cs="Times New Roman"/>
          <w:b/>
          <w:sz w:val="24"/>
          <w:szCs w:val="24"/>
        </w:rPr>
        <w:t>Benefits and Detriments of Agency Discretion</w:t>
      </w:r>
    </w:p>
    <w:p w:rsidR="006F1354" w:rsidRPr="006F1354" w:rsidRDefault="006F1354" w:rsidP="006F1354">
      <w:pPr>
        <w:spacing w:line="480" w:lineRule="auto"/>
        <w:ind w:firstLine="720"/>
        <w:rPr>
          <w:rFonts w:ascii="Times New Roman" w:hAnsi="Times New Roman" w:cs="Times New Roman"/>
          <w:sz w:val="24"/>
          <w:szCs w:val="24"/>
        </w:rPr>
      </w:pPr>
      <w:r w:rsidRPr="006F1354">
        <w:rPr>
          <w:rFonts w:ascii="Times New Roman" w:hAnsi="Times New Roman" w:cs="Times New Roman"/>
          <w:sz w:val="24"/>
          <w:szCs w:val="24"/>
        </w:rPr>
        <w:t>Administrative discretion cannot be exercised by workers in a bureaucracy. Workers who operate in the bureaucracy have administrative discretion if they can use their professional judgment in a certain situation</w:t>
      </w:r>
      <w:r w:rsidR="00821592">
        <w:rPr>
          <w:rFonts w:ascii="Times New Roman" w:hAnsi="Times New Roman" w:cs="Times New Roman"/>
          <w:sz w:val="24"/>
          <w:szCs w:val="24"/>
        </w:rPr>
        <w:t xml:space="preserve"> (</w:t>
      </w:r>
      <w:r w:rsidR="00821592" w:rsidRPr="000D6B6A">
        <w:rPr>
          <w:rFonts w:ascii="Times New Roman" w:hAnsi="Times New Roman" w:cs="Times New Roman"/>
          <w:sz w:val="24"/>
        </w:rPr>
        <w:t>Nagarajan,</w:t>
      </w:r>
      <w:r w:rsidR="00821592">
        <w:rPr>
          <w:rFonts w:ascii="Times New Roman" w:hAnsi="Times New Roman" w:cs="Times New Roman"/>
          <w:sz w:val="24"/>
        </w:rPr>
        <w:t xml:space="preserve"> 2013</w:t>
      </w:r>
      <w:r w:rsidR="00821592">
        <w:rPr>
          <w:rFonts w:ascii="Times New Roman" w:hAnsi="Times New Roman" w:cs="Times New Roman"/>
          <w:sz w:val="24"/>
          <w:szCs w:val="24"/>
        </w:rPr>
        <w:t>)</w:t>
      </w:r>
      <w:r w:rsidRPr="006F1354">
        <w:rPr>
          <w:rFonts w:ascii="Times New Roman" w:hAnsi="Times New Roman" w:cs="Times New Roman"/>
          <w:sz w:val="24"/>
          <w:szCs w:val="24"/>
        </w:rPr>
        <w:t xml:space="preserve">. They may lack the administrative discretion if they are supposed to be guided by certain pre-determined or pre-set rules to the letter. </w:t>
      </w:r>
    </w:p>
    <w:p w:rsidR="006F1354" w:rsidRPr="006F1354" w:rsidRDefault="006F1354" w:rsidP="006F1354">
      <w:pPr>
        <w:spacing w:line="480" w:lineRule="auto"/>
        <w:rPr>
          <w:rFonts w:ascii="Times New Roman" w:hAnsi="Times New Roman" w:cs="Times New Roman"/>
          <w:sz w:val="24"/>
          <w:szCs w:val="24"/>
        </w:rPr>
      </w:pPr>
      <w:r w:rsidRPr="006F1354">
        <w:rPr>
          <w:rFonts w:ascii="Times New Roman" w:hAnsi="Times New Roman" w:cs="Times New Roman"/>
          <w:sz w:val="24"/>
          <w:szCs w:val="24"/>
        </w:rPr>
        <w:t>Administrative discretion is well-known to allow for outcomes which are juster and more humane. For instance, in the case concerning Elian, the immigration officers appeared to have exercised their administrative discretion by choosing to snatch Elian from the Miami-based great uncle. The boy had been happy with the father, and he appeared to have kept checking on Elian even though he was divorced with Elian's mother</w:t>
      </w:r>
      <w:r w:rsidR="003A3B14">
        <w:rPr>
          <w:rFonts w:ascii="Times New Roman" w:hAnsi="Times New Roman" w:cs="Times New Roman"/>
          <w:sz w:val="24"/>
          <w:szCs w:val="24"/>
        </w:rPr>
        <w:t xml:space="preserve"> (</w:t>
      </w:r>
      <w:r w:rsidR="003A3B14" w:rsidRPr="000D6B6A">
        <w:rPr>
          <w:rFonts w:ascii="Times New Roman" w:hAnsi="Times New Roman" w:cs="Times New Roman"/>
          <w:noProof/>
          <w:sz w:val="24"/>
        </w:rPr>
        <w:t>Derek Brown,</w:t>
      </w:r>
      <w:r w:rsidR="003A3B14">
        <w:rPr>
          <w:rFonts w:ascii="Times New Roman" w:hAnsi="Times New Roman" w:cs="Times New Roman"/>
          <w:noProof/>
          <w:sz w:val="24"/>
        </w:rPr>
        <w:t xml:space="preserve"> 2000</w:t>
      </w:r>
      <w:r w:rsidR="003A3B14">
        <w:rPr>
          <w:rFonts w:ascii="Times New Roman" w:hAnsi="Times New Roman" w:cs="Times New Roman"/>
          <w:sz w:val="24"/>
          <w:szCs w:val="24"/>
        </w:rPr>
        <w:t>)</w:t>
      </w:r>
      <w:r w:rsidRPr="006F1354">
        <w:rPr>
          <w:rFonts w:ascii="Times New Roman" w:hAnsi="Times New Roman" w:cs="Times New Roman"/>
          <w:sz w:val="24"/>
          <w:szCs w:val="24"/>
        </w:rPr>
        <w:t>. Elian was in custody of the mother up to the occurrence of the untimely death in the sea accident as they were trying to enter the US.  The actions taken by the immigration officers appeared to be juster and more good outcome which takes all factors into account rather than blindly applying the rules</w:t>
      </w:r>
      <w:r w:rsidR="00791915">
        <w:rPr>
          <w:rFonts w:ascii="Times New Roman" w:hAnsi="Times New Roman" w:cs="Times New Roman"/>
          <w:sz w:val="24"/>
          <w:szCs w:val="24"/>
        </w:rPr>
        <w:t xml:space="preserve"> (</w:t>
      </w:r>
      <w:r w:rsidR="003476A3" w:rsidRPr="000D6B6A">
        <w:rPr>
          <w:rFonts w:ascii="Times New Roman" w:hAnsi="Times New Roman" w:cs="Times New Roman"/>
          <w:sz w:val="24"/>
        </w:rPr>
        <w:t>Organization</w:t>
      </w:r>
      <w:r w:rsidR="00791915" w:rsidRPr="000D6B6A">
        <w:rPr>
          <w:rFonts w:ascii="Times New Roman" w:hAnsi="Times New Roman" w:cs="Times New Roman"/>
          <w:sz w:val="24"/>
        </w:rPr>
        <w:t xml:space="preserve"> for Econom</w:t>
      </w:r>
      <w:r w:rsidR="00791915">
        <w:rPr>
          <w:rFonts w:ascii="Times New Roman" w:hAnsi="Times New Roman" w:cs="Times New Roman"/>
          <w:sz w:val="24"/>
        </w:rPr>
        <w:t>ic Co-operation and Development, 2000</w:t>
      </w:r>
      <w:r w:rsidR="00791915">
        <w:rPr>
          <w:rFonts w:ascii="Times New Roman" w:hAnsi="Times New Roman" w:cs="Times New Roman"/>
          <w:sz w:val="24"/>
          <w:szCs w:val="24"/>
        </w:rPr>
        <w:t>)</w:t>
      </w:r>
      <w:r w:rsidRPr="006F1354">
        <w:rPr>
          <w:rFonts w:ascii="Times New Roman" w:hAnsi="Times New Roman" w:cs="Times New Roman"/>
          <w:sz w:val="24"/>
          <w:szCs w:val="24"/>
        </w:rPr>
        <w:t>.</w:t>
      </w:r>
    </w:p>
    <w:p w:rsidR="006F1354" w:rsidRPr="006F1354" w:rsidRDefault="006F1354" w:rsidP="006F1354">
      <w:pPr>
        <w:spacing w:line="480" w:lineRule="auto"/>
        <w:ind w:firstLine="720"/>
        <w:rPr>
          <w:rFonts w:ascii="Times New Roman" w:hAnsi="Times New Roman" w:cs="Times New Roman"/>
          <w:sz w:val="24"/>
          <w:szCs w:val="24"/>
        </w:rPr>
      </w:pPr>
      <w:r w:rsidRPr="006F1354">
        <w:rPr>
          <w:rFonts w:ascii="Times New Roman" w:hAnsi="Times New Roman" w:cs="Times New Roman"/>
          <w:sz w:val="24"/>
          <w:szCs w:val="24"/>
        </w:rPr>
        <w:t xml:space="preserve">The problem with administrative discretion is that it can lead to abuse. Taking the example of the Elian Gonzalez case, assuming that the Miami-based relatives had some friends in the Immigration authority of the US and were granted the permission to keep the boy, then this </w:t>
      </w:r>
      <w:r w:rsidRPr="006F1354">
        <w:rPr>
          <w:rFonts w:ascii="Times New Roman" w:hAnsi="Times New Roman" w:cs="Times New Roman"/>
          <w:sz w:val="24"/>
          <w:szCs w:val="24"/>
        </w:rPr>
        <w:lastRenderedPageBreak/>
        <w:t>could have been wrong. Elian's father could have been denied the right to keep the son despite the efforts that he made when he pleaded with the Immigration authority of the US to reject the application of custody of Elian by his Miami-based relatives</w:t>
      </w:r>
      <w:r w:rsidR="00454CC8">
        <w:rPr>
          <w:rFonts w:ascii="Times New Roman" w:hAnsi="Times New Roman" w:cs="Times New Roman"/>
          <w:sz w:val="24"/>
          <w:szCs w:val="24"/>
        </w:rPr>
        <w:t xml:space="preserve"> (</w:t>
      </w:r>
      <w:r w:rsidR="00454CC8" w:rsidRPr="000D6B6A">
        <w:rPr>
          <w:rFonts w:ascii="Times New Roman" w:hAnsi="Times New Roman" w:cs="Times New Roman"/>
          <w:noProof/>
          <w:sz w:val="24"/>
        </w:rPr>
        <w:t>Derek Brown,</w:t>
      </w:r>
      <w:r w:rsidR="00454CC8">
        <w:rPr>
          <w:rFonts w:ascii="Times New Roman" w:hAnsi="Times New Roman" w:cs="Times New Roman"/>
          <w:noProof/>
          <w:sz w:val="24"/>
        </w:rPr>
        <w:t xml:space="preserve"> 2000</w:t>
      </w:r>
      <w:r w:rsidR="00454CC8">
        <w:rPr>
          <w:rFonts w:ascii="Times New Roman" w:hAnsi="Times New Roman" w:cs="Times New Roman"/>
          <w:sz w:val="24"/>
          <w:szCs w:val="24"/>
        </w:rPr>
        <w:t>)</w:t>
      </w:r>
      <w:r w:rsidRPr="006F1354">
        <w:rPr>
          <w:rFonts w:ascii="Times New Roman" w:hAnsi="Times New Roman" w:cs="Times New Roman"/>
          <w:sz w:val="24"/>
          <w:szCs w:val="24"/>
        </w:rPr>
        <w:t>. Thus, administrative discretion can make more humane and just decisions, however, it can also open the door to abuse of power. For instance, in the case of Elian, the immigration officials could have proceeded with the application that had been made by the Miami-based relatives and hence an abuse of power.</w:t>
      </w:r>
    </w:p>
    <w:p w:rsidR="006F1354" w:rsidRPr="006F1354" w:rsidRDefault="006F1354" w:rsidP="006F1354">
      <w:pPr>
        <w:spacing w:line="480" w:lineRule="auto"/>
        <w:ind w:firstLine="720"/>
        <w:rPr>
          <w:rFonts w:ascii="Times New Roman" w:hAnsi="Times New Roman" w:cs="Times New Roman"/>
          <w:sz w:val="24"/>
          <w:szCs w:val="24"/>
        </w:rPr>
      </w:pPr>
      <w:r w:rsidRPr="006F1354">
        <w:rPr>
          <w:rFonts w:ascii="Times New Roman" w:hAnsi="Times New Roman" w:cs="Times New Roman"/>
          <w:sz w:val="24"/>
          <w:szCs w:val="24"/>
        </w:rPr>
        <w:t xml:space="preserve">In conclusion, the Chevron deference refers to a principle of the administrative law that requires courts to give way the interpretations of the acts made by the state agencies that are charged with enforcing them, unless the interpretations are not reasonable. However, reasonableness in part turns on if the acts unambiguously address the issue at hand. Some rationales have been offered by different commentators about the Chevron opinion (Chevron U.S.A., 1984). The first bunch of commentators has treated Chevron as a mere default rule that has been created which can be legislated by the Congress. Others argue that the Chevron as an attempt to reconstruct congressional intent and others argue that the separation-of-powers doctrine requires Chevron deference to interpretations by the agency. Before any agency comes up to resolve an issue, it ought to have formulated a well-thought process on how it will go about the process. Over time, Chevron has been thought to have improved upon the previous doctrine in that the Congress is aware of the ambiguity it creates (Chevron U.S.A., 1984). Elian Gonzalez is a six-year-old American most famous refugee. He got to the US while clinging to an inner-tube long after his mother and other several Cubans had drowned after the boat they were sailing in foundered. He happened to be having a great uncle residing in Miami who later on was granted temporary custody of the boy. However, the US government ruled that Elian Gonzalez </w:t>
      </w:r>
      <w:r w:rsidRPr="006F1354">
        <w:rPr>
          <w:rFonts w:ascii="Times New Roman" w:hAnsi="Times New Roman" w:cs="Times New Roman"/>
          <w:sz w:val="24"/>
          <w:szCs w:val="24"/>
        </w:rPr>
        <w:lastRenderedPageBreak/>
        <w:t>must be taken back to his father in Cuba. He was taken back to his father, now in the US (Dillman, 2002). The supreme court of the United States of America ruled that the boy cannot be forced to stay in the country despite the vigorous efforts by the Miami-based family members to keep him there. Administrative discretion cannot be exercised by workers in a bureaucracy. Workers who operate in the bureaucracy have administrative discretion if they can use their professional judgment in a certain situation. Administrative discretion is well-known to allow for outcomes which are juster and more humane. For instance, in the case concerning Elian, the immigration officers appeared to have exercised their administrative discretion by choosing to snatch Elian from the Miami-based great uncle. The boy had been happy with the father, and he appeared to have kept checking on Elian even though he was divorced with Elian's mother. The problem with administrative discretion is that it can lead to abuse. Taking the example of the Elian Gonzalez case, assuming that the Miami-based relatives had some friends in the Immigration authority of the US and were granted the permission to keep the boy, then this could have been wrong</w:t>
      </w:r>
      <w:r w:rsidR="00252D74">
        <w:rPr>
          <w:rFonts w:ascii="Times New Roman" w:hAnsi="Times New Roman" w:cs="Times New Roman"/>
          <w:sz w:val="24"/>
          <w:szCs w:val="24"/>
        </w:rPr>
        <w:t xml:space="preserve"> (</w:t>
      </w:r>
      <w:r w:rsidR="00252D74" w:rsidRPr="000D6B6A">
        <w:rPr>
          <w:rFonts w:ascii="Times New Roman" w:hAnsi="Times New Roman" w:cs="Times New Roman"/>
          <w:noProof/>
          <w:sz w:val="24"/>
        </w:rPr>
        <w:t>Derek Brown,</w:t>
      </w:r>
      <w:r w:rsidR="00252D74">
        <w:rPr>
          <w:rFonts w:ascii="Times New Roman" w:hAnsi="Times New Roman" w:cs="Times New Roman"/>
          <w:noProof/>
          <w:sz w:val="24"/>
        </w:rPr>
        <w:t xml:space="preserve"> 2000</w:t>
      </w:r>
      <w:r w:rsidR="00252D74">
        <w:rPr>
          <w:rFonts w:ascii="Times New Roman" w:hAnsi="Times New Roman" w:cs="Times New Roman"/>
          <w:sz w:val="24"/>
          <w:szCs w:val="24"/>
        </w:rPr>
        <w:t>)</w:t>
      </w:r>
      <w:r w:rsidRPr="006F1354">
        <w:rPr>
          <w:rFonts w:ascii="Times New Roman" w:hAnsi="Times New Roman" w:cs="Times New Roman"/>
          <w:sz w:val="24"/>
          <w:szCs w:val="24"/>
        </w:rPr>
        <w:t>. Elian's father could have been denied the right to keep the son despite the efforts that he made when he pleaded with the Immigration authority of the US to reject the application of custody of Elian by his Miami-based relatives.</w:t>
      </w: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rPr>
          <w:rFonts w:ascii="Times New Roman" w:hAnsi="Times New Roman" w:cs="Times New Roman"/>
          <w:sz w:val="24"/>
          <w:szCs w:val="24"/>
        </w:rPr>
      </w:pPr>
    </w:p>
    <w:p w:rsidR="006F1354" w:rsidRPr="006F1354" w:rsidRDefault="006F1354" w:rsidP="006F1354">
      <w:pPr>
        <w:spacing w:line="480" w:lineRule="auto"/>
        <w:jc w:val="center"/>
        <w:rPr>
          <w:rFonts w:ascii="Times New Roman" w:hAnsi="Times New Roman" w:cs="Times New Roman"/>
          <w:b/>
          <w:sz w:val="24"/>
          <w:szCs w:val="24"/>
        </w:rPr>
      </w:pPr>
      <w:r w:rsidRPr="006F1354">
        <w:rPr>
          <w:rFonts w:ascii="Times New Roman" w:hAnsi="Times New Roman" w:cs="Times New Roman"/>
          <w:b/>
          <w:sz w:val="24"/>
          <w:szCs w:val="24"/>
        </w:rPr>
        <w:lastRenderedPageBreak/>
        <w:t>References</w:t>
      </w:r>
    </w:p>
    <w:p w:rsidR="006F1354" w:rsidRDefault="006F1354" w:rsidP="006F1354">
      <w:pPr>
        <w:spacing w:line="360" w:lineRule="auto"/>
        <w:ind w:left="720" w:hanging="720"/>
        <w:rPr>
          <w:rFonts w:ascii="Times New Roman" w:hAnsi="Times New Roman" w:cs="Times New Roman"/>
          <w:sz w:val="24"/>
          <w:szCs w:val="24"/>
        </w:rPr>
      </w:pPr>
      <w:r w:rsidRPr="006F1354">
        <w:rPr>
          <w:rFonts w:ascii="Times New Roman" w:hAnsi="Times New Roman" w:cs="Times New Roman"/>
          <w:sz w:val="24"/>
          <w:szCs w:val="24"/>
        </w:rPr>
        <w:t>Chevron U.S.A., Inc. v. Natural Resources Defense Council, Inc., 467 U.S. 837 (1984).</w:t>
      </w:r>
    </w:p>
    <w:sdt>
      <w:sdtPr>
        <w:id w:val="-573587230"/>
        <w:bibliography/>
      </w:sdtPr>
      <w:sdtEndPr>
        <w:rPr>
          <w:rFonts w:ascii="Times New Roman" w:hAnsi="Times New Roman" w:cs="Times New Roman"/>
          <w:sz w:val="24"/>
        </w:rPr>
      </w:sdtEndPr>
      <w:sdtContent>
        <w:p w:rsidR="00591BE7" w:rsidRPr="000D6B6A" w:rsidRDefault="00F83C72" w:rsidP="00591BE7">
          <w:pPr>
            <w:pStyle w:val="Bibliography"/>
            <w:spacing w:line="480" w:lineRule="auto"/>
            <w:ind w:left="720" w:hanging="720"/>
            <w:rPr>
              <w:rFonts w:ascii="Times New Roman" w:hAnsi="Times New Roman" w:cs="Times New Roman"/>
              <w:noProof/>
              <w:sz w:val="28"/>
              <w:szCs w:val="24"/>
            </w:rPr>
          </w:pPr>
          <w:r w:rsidRPr="00F83C72">
            <w:rPr>
              <w:rFonts w:ascii="Times New Roman" w:hAnsi="Times New Roman" w:cs="Times New Roman"/>
              <w:sz w:val="24"/>
            </w:rPr>
            <w:fldChar w:fldCharType="begin"/>
          </w:r>
          <w:r w:rsidR="00591BE7" w:rsidRPr="000D6B6A">
            <w:rPr>
              <w:rFonts w:ascii="Times New Roman" w:hAnsi="Times New Roman" w:cs="Times New Roman"/>
              <w:sz w:val="24"/>
            </w:rPr>
            <w:instrText xml:space="preserve"> BIBLIOGRAPHY </w:instrText>
          </w:r>
          <w:r w:rsidRPr="00F83C72">
            <w:rPr>
              <w:rFonts w:ascii="Times New Roman" w:hAnsi="Times New Roman" w:cs="Times New Roman"/>
              <w:sz w:val="24"/>
            </w:rPr>
            <w:fldChar w:fldCharType="separate"/>
          </w:r>
          <w:r w:rsidR="00591BE7" w:rsidRPr="000D6B6A">
            <w:rPr>
              <w:rFonts w:ascii="Times New Roman" w:hAnsi="Times New Roman" w:cs="Times New Roman"/>
              <w:noProof/>
              <w:sz w:val="24"/>
            </w:rPr>
            <w:t xml:space="preserve">Derek Brown, P. B. (2000). The Elian Gonzalez Case. </w:t>
          </w:r>
          <w:r w:rsidR="00591BE7" w:rsidRPr="000D6B6A">
            <w:rPr>
              <w:rFonts w:ascii="Times New Roman" w:hAnsi="Times New Roman" w:cs="Times New Roman"/>
              <w:i/>
              <w:iCs/>
              <w:noProof/>
              <w:sz w:val="24"/>
            </w:rPr>
            <w:t>The Guardian</w:t>
          </w:r>
          <w:r w:rsidR="00591BE7" w:rsidRPr="000D6B6A">
            <w:rPr>
              <w:rFonts w:ascii="Times New Roman" w:hAnsi="Times New Roman" w:cs="Times New Roman"/>
              <w:noProof/>
              <w:sz w:val="24"/>
            </w:rPr>
            <w:t>.</w:t>
          </w:r>
        </w:p>
        <w:p w:rsidR="006F1354" w:rsidRPr="00591BE7" w:rsidRDefault="00F83C72" w:rsidP="00113FFC">
          <w:pPr>
            <w:spacing w:line="480" w:lineRule="auto"/>
            <w:ind w:left="720" w:hanging="720"/>
            <w:rPr>
              <w:rFonts w:ascii="Times New Roman" w:hAnsi="Times New Roman" w:cs="Times New Roman"/>
              <w:sz w:val="24"/>
            </w:rPr>
          </w:pPr>
          <w:r w:rsidRPr="000D6B6A">
            <w:rPr>
              <w:rFonts w:ascii="Times New Roman" w:hAnsi="Times New Roman" w:cs="Times New Roman"/>
              <w:b/>
              <w:bCs/>
              <w:noProof/>
              <w:sz w:val="24"/>
            </w:rPr>
            <w:fldChar w:fldCharType="end"/>
          </w:r>
          <w:r w:rsidR="006F1354" w:rsidRPr="006F1354">
            <w:rPr>
              <w:rFonts w:ascii="Times New Roman" w:hAnsi="Times New Roman" w:cs="Times New Roman"/>
              <w:sz w:val="24"/>
              <w:szCs w:val="24"/>
            </w:rPr>
            <w:t>The Paradox of Discretion and the Case of Elian Gonzalez Read "The Paradox of Discretion and the Case of Elian Gonzalez," by Dillman, from Public Organization Review (2002).</w:t>
          </w:r>
        </w:p>
      </w:sdtContent>
    </w:sdt>
    <w:p w:rsidR="00A7688C" w:rsidRPr="000D6B6A" w:rsidRDefault="001E304D" w:rsidP="00113FFC">
      <w:pPr>
        <w:spacing w:line="480" w:lineRule="auto"/>
        <w:ind w:left="720" w:hanging="720"/>
        <w:rPr>
          <w:rFonts w:ascii="Times New Roman" w:hAnsi="Times New Roman" w:cs="Times New Roman"/>
          <w:sz w:val="24"/>
        </w:rPr>
      </w:pPr>
      <w:r w:rsidRPr="000D6B6A">
        <w:rPr>
          <w:rFonts w:ascii="Times New Roman" w:hAnsi="Times New Roman" w:cs="Times New Roman"/>
          <w:sz w:val="24"/>
        </w:rPr>
        <w:t xml:space="preserve">Nagarajan, V. (2013). </w:t>
      </w:r>
      <w:r w:rsidRPr="000D6B6A">
        <w:rPr>
          <w:rFonts w:ascii="Times New Roman" w:hAnsi="Times New Roman" w:cs="Times New Roman"/>
          <w:i/>
          <w:iCs/>
          <w:sz w:val="24"/>
        </w:rPr>
        <w:t xml:space="preserve">Discretion and public benefit in a regulatory agency: The Australian </w:t>
      </w:r>
      <w:proofErr w:type="spellStart"/>
      <w:r w:rsidRPr="000D6B6A">
        <w:rPr>
          <w:rFonts w:ascii="Times New Roman" w:hAnsi="Times New Roman" w:cs="Times New Roman"/>
          <w:i/>
          <w:iCs/>
          <w:sz w:val="24"/>
        </w:rPr>
        <w:t>authorisation</w:t>
      </w:r>
      <w:proofErr w:type="spellEnd"/>
      <w:r w:rsidRPr="000D6B6A">
        <w:rPr>
          <w:rFonts w:ascii="Times New Roman" w:hAnsi="Times New Roman" w:cs="Times New Roman"/>
          <w:i/>
          <w:iCs/>
          <w:sz w:val="24"/>
        </w:rPr>
        <w:t xml:space="preserve"> process</w:t>
      </w:r>
      <w:r w:rsidRPr="000D6B6A">
        <w:rPr>
          <w:rFonts w:ascii="Times New Roman" w:hAnsi="Times New Roman" w:cs="Times New Roman"/>
          <w:sz w:val="24"/>
        </w:rPr>
        <w:t>.</w:t>
      </w:r>
      <w:bookmarkStart w:id="0" w:name="_GoBack"/>
      <w:bookmarkEnd w:id="0"/>
    </w:p>
    <w:p w:rsidR="00AE2415" w:rsidRPr="000D6B6A" w:rsidRDefault="00AE2415" w:rsidP="000D6B6A">
      <w:pPr>
        <w:spacing w:line="480" w:lineRule="auto"/>
        <w:ind w:left="720" w:hanging="720"/>
        <w:rPr>
          <w:rFonts w:ascii="Times New Roman" w:hAnsi="Times New Roman" w:cs="Times New Roman"/>
          <w:sz w:val="28"/>
          <w:szCs w:val="24"/>
        </w:rPr>
      </w:pPr>
      <w:proofErr w:type="spellStart"/>
      <w:r w:rsidRPr="000D6B6A">
        <w:rPr>
          <w:rFonts w:ascii="Times New Roman" w:hAnsi="Times New Roman" w:cs="Times New Roman"/>
          <w:sz w:val="24"/>
        </w:rPr>
        <w:t>Organisation</w:t>
      </w:r>
      <w:proofErr w:type="spellEnd"/>
      <w:r w:rsidRPr="000D6B6A">
        <w:rPr>
          <w:rFonts w:ascii="Times New Roman" w:hAnsi="Times New Roman" w:cs="Times New Roman"/>
          <w:sz w:val="24"/>
        </w:rPr>
        <w:t xml:space="preserve"> for Economic Co-operation and Development. (2000). </w:t>
      </w:r>
      <w:r w:rsidRPr="000D6B6A">
        <w:rPr>
          <w:rFonts w:ascii="Times New Roman" w:hAnsi="Times New Roman" w:cs="Times New Roman"/>
          <w:i/>
          <w:iCs/>
          <w:sz w:val="24"/>
        </w:rPr>
        <w:t>Voluntary Approaches for Environmental Policy: An Assessment</w:t>
      </w:r>
      <w:r w:rsidRPr="000D6B6A">
        <w:rPr>
          <w:rFonts w:ascii="Times New Roman" w:hAnsi="Times New Roman" w:cs="Times New Roman"/>
          <w:sz w:val="24"/>
        </w:rPr>
        <w:t>. Paris: OECD Publishing.</w:t>
      </w:r>
    </w:p>
    <w:sectPr w:rsidR="00AE2415" w:rsidRPr="000D6B6A" w:rsidSect="00DC38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3832" w:rsidRDefault="00B73832" w:rsidP="00DC388C">
      <w:pPr>
        <w:spacing w:after="0" w:line="240" w:lineRule="auto"/>
      </w:pPr>
      <w:r>
        <w:separator/>
      </w:r>
    </w:p>
  </w:endnote>
  <w:endnote w:type="continuationSeparator" w:id="0">
    <w:p w:rsidR="00B73832" w:rsidRDefault="00B73832" w:rsidP="00DC38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3832" w:rsidRDefault="00B73832" w:rsidP="00DC388C">
      <w:pPr>
        <w:spacing w:after="0" w:line="240" w:lineRule="auto"/>
      </w:pPr>
      <w:r>
        <w:separator/>
      </w:r>
    </w:p>
  </w:footnote>
  <w:footnote w:type="continuationSeparator" w:id="0">
    <w:p w:rsidR="00B73832" w:rsidRDefault="00B73832" w:rsidP="00DC38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FA0" w:rsidRDefault="00526FA0" w:rsidP="00526FA0">
    <w:pPr>
      <w:pStyle w:val="Header"/>
      <w:spacing w:line="480" w:lineRule="auto"/>
      <w:jc w:val="right"/>
    </w:pPr>
    <w:r w:rsidRPr="00526FA0">
      <w:rPr>
        <w:rFonts w:ascii="Times New Roman" w:hAnsi="Times New Roman" w:cs="Times New Roman"/>
        <w:sz w:val="24"/>
      </w:rPr>
      <w:t>AMINISTRATIVE DEFERENCE AND DISCRETION</w:t>
    </w:r>
    <w:r w:rsidR="007A480D">
      <w:rPr>
        <w:rFonts w:ascii="Times New Roman" w:hAnsi="Times New Roman" w:cs="Times New Roman"/>
        <w:sz w:val="24"/>
      </w:rPr>
      <w:tab/>
    </w:r>
    <w:r w:rsidRPr="00526FA0">
      <w:rPr>
        <w:rFonts w:ascii="Times New Roman" w:hAnsi="Times New Roman" w:cs="Times New Roman"/>
        <w:sz w:val="24"/>
      </w:rPr>
      <w:t xml:space="preserve"> </w:t>
    </w:r>
    <w:sdt>
      <w:sdtPr>
        <w:rPr>
          <w:rFonts w:ascii="Times New Roman" w:hAnsi="Times New Roman" w:cs="Times New Roman"/>
          <w:sz w:val="24"/>
        </w:rPr>
        <w:id w:val="163524795"/>
        <w:docPartObj>
          <w:docPartGallery w:val="Page Numbers (Top of Page)"/>
          <w:docPartUnique/>
        </w:docPartObj>
      </w:sdtPr>
      <w:sdtEndPr>
        <w:rPr>
          <w:rFonts w:asciiTheme="minorHAnsi" w:hAnsiTheme="minorHAnsi" w:cstheme="minorBidi"/>
          <w:noProof/>
          <w:sz w:val="22"/>
        </w:rPr>
      </w:sdtEndPr>
      <w:sdtContent>
        <w:r w:rsidR="00F83C72" w:rsidRPr="00526FA0">
          <w:rPr>
            <w:rFonts w:ascii="Times New Roman" w:hAnsi="Times New Roman" w:cs="Times New Roman"/>
            <w:sz w:val="24"/>
          </w:rPr>
          <w:fldChar w:fldCharType="begin"/>
        </w:r>
        <w:r w:rsidRPr="00526FA0">
          <w:rPr>
            <w:rFonts w:ascii="Times New Roman" w:hAnsi="Times New Roman" w:cs="Times New Roman"/>
            <w:sz w:val="24"/>
          </w:rPr>
          <w:instrText xml:space="preserve"> PAGE   \* MERGEFORMAT </w:instrText>
        </w:r>
        <w:r w:rsidR="00F83C72" w:rsidRPr="00526FA0">
          <w:rPr>
            <w:rFonts w:ascii="Times New Roman" w:hAnsi="Times New Roman" w:cs="Times New Roman"/>
            <w:sz w:val="24"/>
          </w:rPr>
          <w:fldChar w:fldCharType="separate"/>
        </w:r>
        <w:r w:rsidR="003476A3">
          <w:rPr>
            <w:rFonts w:ascii="Times New Roman" w:hAnsi="Times New Roman" w:cs="Times New Roman"/>
            <w:noProof/>
            <w:sz w:val="24"/>
          </w:rPr>
          <w:t>2</w:t>
        </w:r>
        <w:r w:rsidR="00F83C72" w:rsidRPr="00526FA0">
          <w:rPr>
            <w:rFonts w:ascii="Times New Roman" w:hAnsi="Times New Roman" w:cs="Times New Roman"/>
            <w:noProof/>
            <w:sz w:val="24"/>
          </w:rPr>
          <w:fldChar w:fldCharType="end"/>
        </w:r>
      </w:sdtContent>
    </w:sdt>
  </w:p>
  <w:p w:rsidR="00173B43" w:rsidRDefault="00173B4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1A2" w:rsidRPr="006C41A2" w:rsidRDefault="006C41A2" w:rsidP="006C41A2">
    <w:pPr>
      <w:pStyle w:val="Header"/>
      <w:spacing w:line="480" w:lineRule="auto"/>
      <w:jc w:val="right"/>
      <w:rPr>
        <w:rFonts w:ascii="Times New Roman" w:hAnsi="Times New Roman" w:cs="Times New Roman"/>
        <w:sz w:val="24"/>
      </w:rPr>
    </w:pPr>
    <w:r w:rsidRPr="006C41A2">
      <w:rPr>
        <w:rFonts w:ascii="Times New Roman" w:hAnsi="Times New Roman" w:cs="Times New Roman"/>
        <w:sz w:val="24"/>
      </w:rPr>
      <w:t>Running Head: ADMIN</w:t>
    </w:r>
    <w:r w:rsidR="00F67B1F">
      <w:rPr>
        <w:rFonts w:ascii="Times New Roman" w:hAnsi="Times New Roman" w:cs="Times New Roman"/>
        <w:sz w:val="24"/>
      </w:rPr>
      <w:t>I</w:t>
    </w:r>
    <w:r w:rsidRPr="006C41A2">
      <w:rPr>
        <w:rFonts w:ascii="Times New Roman" w:hAnsi="Times New Roman" w:cs="Times New Roman"/>
        <w:sz w:val="24"/>
      </w:rPr>
      <w:t>STRATIVE DEFERENCE AND DISCRETION</w:t>
    </w:r>
    <w:r>
      <w:rPr>
        <w:rFonts w:ascii="Times New Roman" w:hAnsi="Times New Roman" w:cs="Times New Roman"/>
        <w:sz w:val="24"/>
      </w:rPr>
      <w:tab/>
    </w:r>
    <w:r w:rsidRPr="006C41A2">
      <w:rPr>
        <w:rFonts w:ascii="Times New Roman" w:hAnsi="Times New Roman" w:cs="Times New Roman"/>
        <w:sz w:val="24"/>
      </w:rPr>
      <w:t xml:space="preserve"> </w:t>
    </w:r>
    <w:sdt>
      <w:sdtPr>
        <w:rPr>
          <w:rFonts w:ascii="Times New Roman" w:hAnsi="Times New Roman" w:cs="Times New Roman"/>
          <w:sz w:val="24"/>
        </w:rPr>
        <w:id w:val="-1369059970"/>
        <w:docPartObj>
          <w:docPartGallery w:val="Page Numbers (Top of Page)"/>
          <w:docPartUnique/>
        </w:docPartObj>
      </w:sdtPr>
      <w:sdtEndPr>
        <w:rPr>
          <w:noProof/>
        </w:rPr>
      </w:sdtEndPr>
      <w:sdtContent>
        <w:r w:rsidR="00F83C72" w:rsidRPr="006C41A2">
          <w:rPr>
            <w:rFonts w:ascii="Times New Roman" w:hAnsi="Times New Roman" w:cs="Times New Roman"/>
            <w:sz w:val="24"/>
          </w:rPr>
          <w:fldChar w:fldCharType="begin"/>
        </w:r>
        <w:r w:rsidRPr="006C41A2">
          <w:rPr>
            <w:rFonts w:ascii="Times New Roman" w:hAnsi="Times New Roman" w:cs="Times New Roman"/>
            <w:sz w:val="24"/>
          </w:rPr>
          <w:instrText xml:space="preserve"> PAGE   \* MERGEFORMAT </w:instrText>
        </w:r>
        <w:r w:rsidR="00F83C72" w:rsidRPr="006C41A2">
          <w:rPr>
            <w:rFonts w:ascii="Times New Roman" w:hAnsi="Times New Roman" w:cs="Times New Roman"/>
            <w:sz w:val="24"/>
          </w:rPr>
          <w:fldChar w:fldCharType="separate"/>
        </w:r>
        <w:r w:rsidR="003476A3">
          <w:rPr>
            <w:rFonts w:ascii="Times New Roman" w:hAnsi="Times New Roman" w:cs="Times New Roman"/>
            <w:noProof/>
            <w:sz w:val="24"/>
          </w:rPr>
          <w:t>1</w:t>
        </w:r>
        <w:r w:rsidR="00F83C72" w:rsidRPr="006C41A2">
          <w:rPr>
            <w:rFonts w:ascii="Times New Roman" w:hAnsi="Times New Roman" w:cs="Times New Roman"/>
            <w:noProof/>
            <w:sz w:val="24"/>
          </w:rPr>
          <w:fldChar w:fldCharType="end"/>
        </w:r>
      </w:sdtContent>
    </w:sdt>
  </w:p>
  <w:p w:rsidR="00DC388C" w:rsidRDefault="00DC388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CF7C6B"/>
    <w:rsid w:val="0005051E"/>
    <w:rsid w:val="00052596"/>
    <w:rsid w:val="000839C2"/>
    <w:rsid w:val="00086BDE"/>
    <w:rsid w:val="000A4A77"/>
    <w:rsid w:val="000D1D16"/>
    <w:rsid w:val="000D6B6A"/>
    <w:rsid w:val="00113FFC"/>
    <w:rsid w:val="001165F3"/>
    <w:rsid w:val="00122994"/>
    <w:rsid w:val="00131D46"/>
    <w:rsid w:val="00137F2C"/>
    <w:rsid w:val="00144D63"/>
    <w:rsid w:val="00156077"/>
    <w:rsid w:val="001619E7"/>
    <w:rsid w:val="001640DF"/>
    <w:rsid w:val="00173B43"/>
    <w:rsid w:val="00177011"/>
    <w:rsid w:val="00177081"/>
    <w:rsid w:val="00180407"/>
    <w:rsid w:val="001C7811"/>
    <w:rsid w:val="001D0CC6"/>
    <w:rsid w:val="001D3888"/>
    <w:rsid w:val="001E304D"/>
    <w:rsid w:val="001E76FA"/>
    <w:rsid w:val="001F7318"/>
    <w:rsid w:val="00252D74"/>
    <w:rsid w:val="00263390"/>
    <w:rsid w:val="002668A3"/>
    <w:rsid w:val="00270781"/>
    <w:rsid w:val="002712C7"/>
    <w:rsid w:val="002B01FE"/>
    <w:rsid w:val="002C7FDE"/>
    <w:rsid w:val="002D65CC"/>
    <w:rsid w:val="00303A14"/>
    <w:rsid w:val="00303C91"/>
    <w:rsid w:val="003322E1"/>
    <w:rsid w:val="003476A3"/>
    <w:rsid w:val="00353B2F"/>
    <w:rsid w:val="00366120"/>
    <w:rsid w:val="00380F35"/>
    <w:rsid w:val="003A3B14"/>
    <w:rsid w:val="003D3549"/>
    <w:rsid w:val="003E3D6C"/>
    <w:rsid w:val="003F13FB"/>
    <w:rsid w:val="003F5220"/>
    <w:rsid w:val="003F53B1"/>
    <w:rsid w:val="004010DA"/>
    <w:rsid w:val="00454CC8"/>
    <w:rsid w:val="00465138"/>
    <w:rsid w:val="0047319C"/>
    <w:rsid w:val="004830E4"/>
    <w:rsid w:val="00486E91"/>
    <w:rsid w:val="004A4281"/>
    <w:rsid w:val="004B4418"/>
    <w:rsid w:val="004E6428"/>
    <w:rsid w:val="004F22F5"/>
    <w:rsid w:val="0050395E"/>
    <w:rsid w:val="0052179B"/>
    <w:rsid w:val="00526FA0"/>
    <w:rsid w:val="00527FBE"/>
    <w:rsid w:val="0054162B"/>
    <w:rsid w:val="00541E6C"/>
    <w:rsid w:val="0054713C"/>
    <w:rsid w:val="00575C4A"/>
    <w:rsid w:val="00591BE7"/>
    <w:rsid w:val="00600B3F"/>
    <w:rsid w:val="00604CA9"/>
    <w:rsid w:val="006072E9"/>
    <w:rsid w:val="006111F5"/>
    <w:rsid w:val="006250CB"/>
    <w:rsid w:val="006303F8"/>
    <w:rsid w:val="00662DA1"/>
    <w:rsid w:val="00666CF2"/>
    <w:rsid w:val="006A36DB"/>
    <w:rsid w:val="006A4357"/>
    <w:rsid w:val="006A4647"/>
    <w:rsid w:val="006B200B"/>
    <w:rsid w:val="006C41A2"/>
    <w:rsid w:val="006F1354"/>
    <w:rsid w:val="007005C3"/>
    <w:rsid w:val="00711487"/>
    <w:rsid w:val="007476AE"/>
    <w:rsid w:val="00791915"/>
    <w:rsid w:val="007A480D"/>
    <w:rsid w:val="007E5113"/>
    <w:rsid w:val="007E600A"/>
    <w:rsid w:val="007E6B93"/>
    <w:rsid w:val="007F69A1"/>
    <w:rsid w:val="00806268"/>
    <w:rsid w:val="0081458F"/>
    <w:rsid w:val="00821592"/>
    <w:rsid w:val="008220BA"/>
    <w:rsid w:val="0082402F"/>
    <w:rsid w:val="008251F4"/>
    <w:rsid w:val="00830406"/>
    <w:rsid w:val="00832B94"/>
    <w:rsid w:val="00855B8B"/>
    <w:rsid w:val="00867B89"/>
    <w:rsid w:val="0087087D"/>
    <w:rsid w:val="00887006"/>
    <w:rsid w:val="008B1ECB"/>
    <w:rsid w:val="008B3EB2"/>
    <w:rsid w:val="008B6B3D"/>
    <w:rsid w:val="00922880"/>
    <w:rsid w:val="0095365F"/>
    <w:rsid w:val="009654F1"/>
    <w:rsid w:val="00977646"/>
    <w:rsid w:val="00991876"/>
    <w:rsid w:val="009A0521"/>
    <w:rsid w:val="009A6397"/>
    <w:rsid w:val="009C1D45"/>
    <w:rsid w:val="009F449D"/>
    <w:rsid w:val="00A066DA"/>
    <w:rsid w:val="00A135B5"/>
    <w:rsid w:val="00A51F4B"/>
    <w:rsid w:val="00A546DB"/>
    <w:rsid w:val="00A7688C"/>
    <w:rsid w:val="00A807BF"/>
    <w:rsid w:val="00A81AAC"/>
    <w:rsid w:val="00AA2FF0"/>
    <w:rsid w:val="00AA44D2"/>
    <w:rsid w:val="00AA53DA"/>
    <w:rsid w:val="00AC293D"/>
    <w:rsid w:val="00AC4BAC"/>
    <w:rsid w:val="00AD0F5F"/>
    <w:rsid w:val="00AD678C"/>
    <w:rsid w:val="00AE2415"/>
    <w:rsid w:val="00AF6CAB"/>
    <w:rsid w:val="00B110D1"/>
    <w:rsid w:val="00B355E9"/>
    <w:rsid w:val="00B430BB"/>
    <w:rsid w:val="00B52030"/>
    <w:rsid w:val="00B5513A"/>
    <w:rsid w:val="00B66144"/>
    <w:rsid w:val="00B66DE6"/>
    <w:rsid w:val="00B73832"/>
    <w:rsid w:val="00BB1AA2"/>
    <w:rsid w:val="00BE1C07"/>
    <w:rsid w:val="00C06947"/>
    <w:rsid w:val="00C21EC6"/>
    <w:rsid w:val="00C26CA2"/>
    <w:rsid w:val="00C40833"/>
    <w:rsid w:val="00C428C0"/>
    <w:rsid w:val="00C508BB"/>
    <w:rsid w:val="00C51ECE"/>
    <w:rsid w:val="00C60287"/>
    <w:rsid w:val="00C862E0"/>
    <w:rsid w:val="00C9520C"/>
    <w:rsid w:val="00CC3E56"/>
    <w:rsid w:val="00CF664A"/>
    <w:rsid w:val="00CF7C6B"/>
    <w:rsid w:val="00D00746"/>
    <w:rsid w:val="00D013CB"/>
    <w:rsid w:val="00D03340"/>
    <w:rsid w:val="00D3087A"/>
    <w:rsid w:val="00D4228B"/>
    <w:rsid w:val="00D465A6"/>
    <w:rsid w:val="00D542A2"/>
    <w:rsid w:val="00D546C1"/>
    <w:rsid w:val="00D560C5"/>
    <w:rsid w:val="00D57B05"/>
    <w:rsid w:val="00D67886"/>
    <w:rsid w:val="00D728CF"/>
    <w:rsid w:val="00D853D4"/>
    <w:rsid w:val="00DA6875"/>
    <w:rsid w:val="00DC388C"/>
    <w:rsid w:val="00DD00F3"/>
    <w:rsid w:val="00DD5974"/>
    <w:rsid w:val="00DF31B3"/>
    <w:rsid w:val="00E014C2"/>
    <w:rsid w:val="00E14535"/>
    <w:rsid w:val="00E1522A"/>
    <w:rsid w:val="00E238AD"/>
    <w:rsid w:val="00E4196C"/>
    <w:rsid w:val="00E42093"/>
    <w:rsid w:val="00E906EB"/>
    <w:rsid w:val="00EA28AE"/>
    <w:rsid w:val="00EC2592"/>
    <w:rsid w:val="00ED474B"/>
    <w:rsid w:val="00EE5878"/>
    <w:rsid w:val="00F0020E"/>
    <w:rsid w:val="00F0782D"/>
    <w:rsid w:val="00F154A0"/>
    <w:rsid w:val="00F23B64"/>
    <w:rsid w:val="00F276A7"/>
    <w:rsid w:val="00F30D2A"/>
    <w:rsid w:val="00F47E96"/>
    <w:rsid w:val="00F67B1F"/>
    <w:rsid w:val="00F83C72"/>
    <w:rsid w:val="00FA1787"/>
    <w:rsid w:val="00FA2596"/>
    <w:rsid w:val="00FB628C"/>
    <w:rsid w:val="00FC1950"/>
    <w:rsid w:val="00FE3597"/>
    <w:rsid w:val="00FE6A1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5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38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88C"/>
  </w:style>
  <w:style w:type="paragraph" w:styleId="Footer">
    <w:name w:val="footer"/>
    <w:basedOn w:val="Normal"/>
    <w:link w:val="FooterChar"/>
    <w:uiPriority w:val="99"/>
    <w:unhideWhenUsed/>
    <w:rsid w:val="00DC38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88C"/>
  </w:style>
  <w:style w:type="paragraph" w:styleId="Bibliography">
    <w:name w:val="Bibliography"/>
    <w:basedOn w:val="Normal"/>
    <w:next w:val="Normal"/>
    <w:uiPriority w:val="37"/>
    <w:unhideWhenUsed/>
    <w:rsid w:val="00A7688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Der00</b:Tag>
    <b:SourceType>JournalArticle</b:SourceType>
    <b:Guid>{0BD57034-35A0-40DA-96C8-92E153CB75B1}</b:Guid>
    <b:Author>
      <b:Author>
        <b:NameList>
          <b:Person>
            <b:Last>Derek Brown</b:Last>
            <b:First>Patrick</b:First>
            <b:Middle>Barkham</b:Middle>
          </b:Person>
        </b:NameList>
      </b:Author>
    </b:Author>
    <b:Title>The Elian Gonzalez Case</b:Title>
    <b:JournalName>The Guardian</b:JournalName>
    <b:Year>2000</b:Year>
    <b:RefOrder>1</b:RefOrder>
  </b:Source>
</b:Sources>
</file>

<file path=customXml/itemProps1.xml><?xml version="1.0" encoding="utf-8"?>
<ds:datastoreItem xmlns:ds="http://schemas.openxmlformats.org/officeDocument/2006/customXml" ds:itemID="{762EB6EE-8898-41B5-8533-2CD4B06E3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1508</Words>
  <Characters>8602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3</cp:revision>
  <dcterms:created xsi:type="dcterms:W3CDTF">2018-09-13T05:18:00Z</dcterms:created>
  <dcterms:modified xsi:type="dcterms:W3CDTF">2018-09-13T05:19:00Z</dcterms:modified>
</cp:coreProperties>
</file>